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FEDFD" w14:textId="77777777" w:rsidR="00312A77" w:rsidRPr="002A0FCD" w:rsidRDefault="00312A77" w:rsidP="00F21FD4">
      <w:pPr>
        <w:pStyle w:val="ListParagraph"/>
        <w:spacing w:line="360" w:lineRule="auto"/>
        <w:ind w:left="284"/>
        <w:jc w:val="center"/>
        <w:rPr>
          <w:rFonts w:ascii="Quicksand" w:hAnsi="Quicksand"/>
          <w:b/>
          <w:szCs w:val="20"/>
        </w:rPr>
      </w:pPr>
      <w:r w:rsidRPr="002A0FCD">
        <w:rPr>
          <w:rFonts w:ascii="Quicksand" w:hAnsi="Quicksand"/>
          <w:b/>
          <w:color w:val="B1C5BF"/>
          <w:szCs w:val="20"/>
        </w:rPr>
        <w:t>INFORMATION SHARING AGREEMENT</w:t>
      </w:r>
    </w:p>
    <w:p w14:paraId="18908D22" w14:textId="77777777" w:rsidR="00CF6D5C" w:rsidRPr="002A0FCD" w:rsidRDefault="00CF6D5C" w:rsidP="00F21FD4">
      <w:pPr>
        <w:pStyle w:val="ListParagraph"/>
        <w:numPr>
          <w:ilvl w:val="0"/>
          <w:numId w:val="1"/>
        </w:numPr>
        <w:spacing w:line="360" w:lineRule="auto"/>
        <w:ind w:left="284" w:hanging="284"/>
        <w:jc w:val="both"/>
        <w:rPr>
          <w:rFonts w:ascii="Quicksand" w:hAnsi="Quicksand"/>
          <w:b/>
          <w:color w:val="B1C5BF"/>
          <w:szCs w:val="20"/>
        </w:rPr>
        <w:sectPr w:rsidR="00CF6D5C" w:rsidRPr="002A0FCD" w:rsidSect="00CF6D5C">
          <w:pgSz w:w="11906" w:h="16838"/>
          <w:pgMar w:top="720" w:right="720" w:bottom="720" w:left="720" w:header="708" w:footer="708" w:gutter="0"/>
          <w:cols w:space="567"/>
          <w:docGrid w:linePitch="360"/>
        </w:sectPr>
      </w:pPr>
    </w:p>
    <w:p w14:paraId="7E59CEE2" w14:textId="35A86752"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Application:</w:t>
      </w:r>
      <w:r w:rsidRPr="00DF2B2B">
        <w:rPr>
          <w:rFonts w:ascii="Quicksand" w:hAnsi="Quicksand"/>
          <w:color w:val="7F7F7F" w:themeColor="text1" w:themeTint="80"/>
          <w:sz w:val="18"/>
          <w:szCs w:val="20"/>
        </w:rPr>
        <w:t xml:space="preserve"> The parties to this Agreement may share information with each other from time-to-time. This Agreement sets out the terms on which the information is shared. </w:t>
      </w:r>
    </w:p>
    <w:p w14:paraId="5662BB59" w14:textId="76C3A3AF" w:rsidR="00312A77" w:rsidRPr="00DF2B2B" w:rsidRDefault="00312A77" w:rsidP="00312A77">
      <w:pPr>
        <w:pStyle w:val="ListParagraph"/>
        <w:numPr>
          <w:ilvl w:val="0"/>
          <w:numId w:val="1"/>
        </w:numPr>
        <w:ind w:left="284"/>
        <w:jc w:val="both"/>
        <w:rPr>
          <w:rFonts w:ascii="Quicksand" w:hAnsi="Quicksand"/>
          <w:color w:val="7F7F7F" w:themeColor="text1" w:themeTint="80"/>
          <w:sz w:val="18"/>
          <w:szCs w:val="20"/>
        </w:rPr>
      </w:pPr>
      <w:r w:rsidRPr="00DF2B2B">
        <w:rPr>
          <w:rFonts w:ascii="Quicksand" w:hAnsi="Quicksand"/>
          <w:b/>
          <w:color w:val="B1C5BF"/>
          <w:sz w:val="18"/>
          <w:szCs w:val="20"/>
        </w:rPr>
        <w:t>Meaning of confidential information:</w:t>
      </w:r>
      <w:r w:rsidRPr="00DF2B2B">
        <w:rPr>
          <w:rFonts w:ascii="Quicksand" w:hAnsi="Quicksand"/>
          <w:color w:val="7F7F7F" w:themeColor="text1" w:themeTint="80"/>
          <w:sz w:val="18"/>
          <w:szCs w:val="20"/>
        </w:rPr>
        <w:t xml:space="preserve"> In this Agreement, </w:t>
      </w:r>
      <w:r w:rsidRPr="00DF2B2B">
        <w:rPr>
          <w:rFonts w:ascii="Quicksand" w:hAnsi="Quicksand"/>
          <w:i/>
          <w:color w:val="7F7F7F" w:themeColor="text1" w:themeTint="80"/>
          <w:sz w:val="18"/>
          <w:szCs w:val="20"/>
        </w:rPr>
        <w:t>Confidential Information</w:t>
      </w:r>
      <w:r w:rsidRPr="00DF2B2B">
        <w:rPr>
          <w:rFonts w:ascii="Quicksand" w:hAnsi="Quicksand"/>
          <w:color w:val="7F7F7F" w:themeColor="text1" w:themeTint="80"/>
          <w:sz w:val="18"/>
          <w:szCs w:val="20"/>
        </w:rPr>
        <w:t xml:space="preserve"> means all information (whether written, verbal or electronic) that is disclosed by one party (</w:t>
      </w:r>
      <w:r w:rsidRPr="00DF2B2B">
        <w:rPr>
          <w:rFonts w:ascii="Quicksand" w:hAnsi="Quicksand"/>
          <w:i/>
          <w:color w:val="7F7F7F" w:themeColor="text1" w:themeTint="80"/>
          <w:sz w:val="18"/>
          <w:szCs w:val="20"/>
        </w:rPr>
        <w:t>the Owner</w:t>
      </w:r>
      <w:r w:rsidRPr="00DF2B2B">
        <w:rPr>
          <w:rFonts w:ascii="Quicksand" w:hAnsi="Quicksand"/>
          <w:color w:val="7F7F7F" w:themeColor="text1" w:themeTint="80"/>
          <w:sz w:val="18"/>
          <w:szCs w:val="20"/>
        </w:rPr>
        <w:t>) to another party (</w:t>
      </w:r>
      <w:r w:rsidRPr="00DF2B2B">
        <w:rPr>
          <w:rFonts w:ascii="Quicksand" w:hAnsi="Quicksand"/>
          <w:i/>
          <w:color w:val="7F7F7F" w:themeColor="text1" w:themeTint="80"/>
          <w:sz w:val="18"/>
          <w:szCs w:val="20"/>
        </w:rPr>
        <w:t>the Recipient</w:t>
      </w:r>
      <w:r w:rsidRPr="00DF2B2B">
        <w:rPr>
          <w:rFonts w:ascii="Quicksand" w:hAnsi="Quicksand"/>
          <w:color w:val="7F7F7F" w:themeColor="text1" w:themeTint="80"/>
          <w:sz w:val="18"/>
          <w:szCs w:val="20"/>
        </w:rPr>
        <w:t>). This includes, without limitation:</w:t>
      </w:r>
    </w:p>
    <w:p w14:paraId="24BA19EE" w14:textId="77777777" w:rsidR="00312A77" w:rsidRPr="00DF2B2B" w:rsidRDefault="00312A77" w:rsidP="00312A77">
      <w:pPr>
        <w:pStyle w:val="ListParagraph"/>
        <w:numPr>
          <w:ilvl w:val="1"/>
          <w:numId w:val="1"/>
        </w:numPr>
        <w:ind w:left="567" w:hanging="283"/>
        <w:jc w:val="both"/>
        <w:rPr>
          <w:rFonts w:ascii="Quicksand" w:hAnsi="Quicksand"/>
          <w:color w:val="7F7F7F" w:themeColor="text1" w:themeTint="80"/>
          <w:sz w:val="18"/>
          <w:szCs w:val="20"/>
        </w:rPr>
      </w:pPr>
      <w:r w:rsidRPr="00DF2B2B">
        <w:rPr>
          <w:rFonts w:ascii="Quicksand" w:hAnsi="Quicksand"/>
          <w:color w:val="7F7F7F" w:themeColor="text1" w:themeTint="80"/>
          <w:sz w:val="18"/>
          <w:szCs w:val="20"/>
        </w:rPr>
        <w:t>the identities of the parties to this Agreement;</w:t>
      </w:r>
    </w:p>
    <w:p w14:paraId="128175B6" w14:textId="28926CF2" w:rsidR="00312A77" w:rsidRPr="00DF2B2B" w:rsidRDefault="00EC3A2C" w:rsidP="00312A77">
      <w:pPr>
        <w:pStyle w:val="ListParagraph"/>
        <w:numPr>
          <w:ilvl w:val="1"/>
          <w:numId w:val="1"/>
        </w:numPr>
        <w:ind w:left="567" w:hanging="283"/>
        <w:jc w:val="both"/>
        <w:rPr>
          <w:rFonts w:ascii="Quicksand" w:hAnsi="Quicksand"/>
          <w:color w:val="7F7F7F" w:themeColor="text1" w:themeTint="80"/>
          <w:sz w:val="18"/>
          <w:szCs w:val="20"/>
        </w:rPr>
      </w:pPr>
      <w:r>
        <w:rPr>
          <w:rFonts w:ascii="Quicksand" w:hAnsi="Quicksand"/>
          <w:color w:val="7F7F7F" w:themeColor="text1" w:themeTint="80"/>
          <w:sz w:val="18"/>
          <w:szCs w:val="20"/>
        </w:rPr>
        <w:t xml:space="preserve">the </w:t>
      </w:r>
      <w:r w:rsidR="00B54A8C">
        <w:rPr>
          <w:rFonts w:ascii="Quicksand" w:hAnsi="Quicksand"/>
          <w:color w:val="7F7F7F" w:themeColor="text1" w:themeTint="80"/>
          <w:sz w:val="18"/>
          <w:szCs w:val="20"/>
        </w:rPr>
        <w:t xml:space="preserve">operations and </w:t>
      </w:r>
      <w:r>
        <w:rPr>
          <w:rFonts w:ascii="Quicksand" w:hAnsi="Quicksand"/>
          <w:color w:val="7F7F7F" w:themeColor="text1" w:themeTint="80"/>
          <w:sz w:val="18"/>
          <w:szCs w:val="20"/>
        </w:rPr>
        <w:t xml:space="preserve">strategic plans </w:t>
      </w:r>
      <w:r w:rsidR="00312A77" w:rsidRPr="00DF2B2B">
        <w:rPr>
          <w:rFonts w:ascii="Quicksand" w:hAnsi="Quicksand"/>
          <w:color w:val="7F7F7F" w:themeColor="text1" w:themeTint="80"/>
          <w:sz w:val="18"/>
          <w:szCs w:val="20"/>
        </w:rPr>
        <w:t>of the Owner;</w:t>
      </w:r>
    </w:p>
    <w:p w14:paraId="0B8D8E14" w14:textId="77777777" w:rsidR="00312A77" w:rsidRPr="00DF2B2B" w:rsidRDefault="00312A77" w:rsidP="00312A77">
      <w:pPr>
        <w:pStyle w:val="ListParagraph"/>
        <w:numPr>
          <w:ilvl w:val="1"/>
          <w:numId w:val="1"/>
        </w:numPr>
        <w:ind w:left="567" w:hanging="283"/>
        <w:jc w:val="both"/>
        <w:rPr>
          <w:rFonts w:ascii="Quicksand" w:hAnsi="Quicksand"/>
          <w:color w:val="7F7F7F" w:themeColor="text1" w:themeTint="80"/>
          <w:sz w:val="18"/>
          <w:szCs w:val="20"/>
        </w:rPr>
      </w:pPr>
      <w:r w:rsidRPr="00DF2B2B">
        <w:rPr>
          <w:rFonts w:ascii="Quicksand" w:hAnsi="Quicksand"/>
          <w:color w:val="7F7F7F" w:themeColor="text1" w:themeTint="80"/>
          <w:sz w:val="18"/>
          <w:szCs w:val="20"/>
        </w:rPr>
        <w:t>the fact that Confidential Information is being made available to the Recipient;</w:t>
      </w:r>
    </w:p>
    <w:p w14:paraId="50904944" w14:textId="77777777" w:rsidR="00312A77" w:rsidRPr="00DF2B2B" w:rsidRDefault="00312A77" w:rsidP="00312A77">
      <w:pPr>
        <w:pStyle w:val="ListParagraph"/>
        <w:numPr>
          <w:ilvl w:val="1"/>
          <w:numId w:val="1"/>
        </w:numPr>
        <w:ind w:left="567" w:hanging="283"/>
        <w:jc w:val="both"/>
        <w:rPr>
          <w:rFonts w:ascii="Quicksand" w:hAnsi="Quicksand"/>
          <w:color w:val="7F7F7F" w:themeColor="text1" w:themeTint="80"/>
          <w:sz w:val="18"/>
          <w:szCs w:val="20"/>
        </w:rPr>
      </w:pPr>
      <w:r w:rsidRPr="00DF2B2B">
        <w:rPr>
          <w:rFonts w:ascii="Quicksand" w:hAnsi="Quicksand"/>
          <w:color w:val="7F7F7F" w:themeColor="text1" w:themeTint="80"/>
          <w:sz w:val="18"/>
          <w:szCs w:val="20"/>
        </w:rPr>
        <w:t>the nature of the Confidential Information; and</w:t>
      </w:r>
    </w:p>
    <w:p w14:paraId="4A5791CA" w14:textId="77777777" w:rsidR="00312A77" w:rsidRPr="00DF2B2B" w:rsidRDefault="00312A77" w:rsidP="00312A77">
      <w:pPr>
        <w:pStyle w:val="ListParagraph"/>
        <w:numPr>
          <w:ilvl w:val="1"/>
          <w:numId w:val="1"/>
        </w:numPr>
        <w:ind w:left="567" w:hanging="283"/>
        <w:jc w:val="both"/>
        <w:rPr>
          <w:rFonts w:ascii="Quicksand" w:hAnsi="Quicksand"/>
          <w:color w:val="7F7F7F" w:themeColor="text1" w:themeTint="80"/>
          <w:sz w:val="18"/>
          <w:szCs w:val="20"/>
        </w:rPr>
      </w:pPr>
      <w:r w:rsidRPr="00DF2B2B">
        <w:rPr>
          <w:rFonts w:ascii="Quicksand" w:hAnsi="Quicksand"/>
          <w:color w:val="7F7F7F" w:themeColor="text1" w:themeTint="80"/>
          <w:sz w:val="18"/>
          <w:szCs w:val="20"/>
        </w:rPr>
        <w:t>derivative works that include or cite the Confidential Information.</w:t>
      </w:r>
    </w:p>
    <w:p w14:paraId="1C80D54A"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bookmarkStart w:id="0" w:name="_Ref492406928"/>
      <w:bookmarkStart w:id="1" w:name="_Ref492407573"/>
      <w:r w:rsidRPr="00DF2B2B">
        <w:rPr>
          <w:rFonts w:ascii="Quicksand" w:hAnsi="Quicksand"/>
          <w:b/>
          <w:color w:val="B1C5BF"/>
          <w:sz w:val="18"/>
          <w:szCs w:val="20"/>
        </w:rPr>
        <w:t>Obligation of confidentiality:</w:t>
      </w:r>
      <w:r w:rsidRPr="00DF2B2B">
        <w:rPr>
          <w:rFonts w:ascii="Quicksand" w:hAnsi="Quicksand"/>
          <w:color w:val="7F7F7F" w:themeColor="text1" w:themeTint="80"/>
          <w:sz w:val="18"/>
          <w:szCs w:val="20"/>
        </w:rPr>
        <w:t xml:space="preserve"> The Recipient will keep all Confidential Information in confidence. The Recipient will establish and enforce policies and procedures to ensure that it maintains confidentiality in accordance with this Agreement.</w:t>
      </w:r>
    </w:p>
    <w:p w14:paraId="158348BC"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Proper purpose:</w:t>
      </w:r>
      <w:r w:rsidRPr="00DF2B2B">
        <w:rPr>
          <w:rFonts w:ascii="Quicksand" w:hAnsi="Quicksand"/>
          <w:color w:val="7F7F7F" w:themeColor="text1" w:themeTint="80"/>
          <w:sz w:val="18"/>
          <w:szCs w:val="20"/>
        </w:rPr>
        <w:t xml:space="preserve"> The Recipient will only use Confidential Information in connection with the purpose for which it was disclosed. </w:t>
      </w:r>
    </w:p>
    <w:p w14:paraId="688A0765" w14:textId="0C4587CF"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bookmarkStart w:id="2" w:name="_Ref497749043"/>
      <w:r w:rsidRPr="00DF2B2B">
        <w:rPr>
          <w:rFonts w:ascii="Quicksand" w:hAnsi="Quicksand"/>
          <w:b/>
          <w:color w:val="B1C5BF"/>
          <w:sz w:val="18"/>
          <w:szCs w:val="20"/>
        </w:rPr>
        <w:t>Disclosure to employees etc.:</w:t>
      </w:r>
      <w:r w:rsidRPr="00DF2B2B">
        <w:rPr>
          <w:rFonts w:ascii="Quicksand" w:hAnsi="Quicksand"/>
          <w:color w:val="7F7F7F" w:themeColor="text1" w:themeTint="80"/>
          <w:sz w:val="18"/>
          <w:szCs w:val="20"/>
        </w:rPr>
        <w:t xml:space="preserve"> The Recipient may disclose Confidential Information to its employees, </w:t>
      </w:r>
      <w:proofErr w:type="gramStart"/>
      <w:r w:rsidRPr="00DF2B2B">
        <w:rPr>
          <w:rFonts w:ascii="Quicksand" w:hAnsi="Quicksand"/>
          <w:color w:val="7F7F7F" w:themeColor="text1" w:themeTint="80"/>
          <w:sz w:val="18"/>
          <w:szCs w:val="20"/>
        </w:rPr>
        <w:t>agents</w:t>
      </w:r>
      <w:proofErr w:type="gramEnd"/>
      <w:r w:rsidRPr="00DF2B2B">
        <w:rPr>
          <w:rFonts w:ascii="Quicksand" w:hAnsi="Quicksand"/>
          <w:color w:val="7F7F7F" w:themeColor="text1" w:themeTint="80"/>
          <w:sz w:val="18"/>
          <w:szCs w:val="20"/>
        </w:rPr>
        <w:t xml:space="preserve"> and professional advisers, provided that such recipients are subject to obligations of confidentiality similar to those in this Agreement. To avoid doubt, </w:t>
      </w:r>
      <w:r w:rsidR="00C86322">
        <w:rPr>
          <w:rFonts w:ascii="Quicksand" w:hAnsi="Quicksand"/>
          <w:color w:val="7F7F7F" w:themeColor="text1" w:themeTint="80"/>
          <w:sz w:val="18"/>
          <w:szCs w:val="20"/>
        </w:rPr>
        <w:t xml:space="preserve">this includes </w:t>
      </w:r>
      <w:r w:rsidRPr="00DF2B2B">
        <w:rPr>
          <w:rFonts w:ascii="Quicksand" w:hAnsi="Quicksand"/>
          <w:color w:val="7F7F7F" w:themeColor="text1" w:themeTint="80"/>
          <w:sz w:val="18"/>
          <w:szCs w:val="20"/>
        </w:rPr>
        <w:t xml:space="preserve">employment agreements </w:t>
      </w:r>
      <w:r w:rsidR="00C86322">
        <w:rPr>
          <w:rFonts w:ascii="Quicksand" w:hAnsi="Quicksand"/>
          <w:color w:val="7F7F7F" w:themeColor="text1" w:themeTint="80"/>
          <w:sz w:val="18"/>
          <w:szCs w:val="20"/>
        </w:rPr>
        <w:t xml:space="preserve">and </w:t>
      </w:r>
      <w:r w:rsidRPr="00DF2B2B">
        <w:rPr>
          <w:rFonts w:ascii="Quicksand" w:hAnsi="Quicksand"/>
          <w:color w:val="7F7F7F" w:themeColor="text1" w:themeTint="80"/>
          <w:sz w:val="18"/>
          <w:szCs w:val="20"/>
        </w:rPr>
        <w:t>terms of engagement that include obligations of confidentiality</w:t>
      </w:r>
      <w:bookmarkEnd w:id="2"/>
      <w:r w:rsidRPr="00DF2B2B">
        <w:rPr>
          <w:rFonts w:ascii="Quicksand" w:hAnsi="Quicksand"/>
          <w:color w:val="7F7F7F" w:themeColor="text1" w:themeTint="80"/>
          <w:sz w:val="18"/>
          <w:szCs w:val="20"/>
        </w:rPr>
        <w:t>.</w:t>
      </w:r>
    </w:p>
    <w:p w14:paraId="124AA940"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Other permitted disclosures:</w:t>
      </w:r>
      <w:r w:rsidRPr="00DF2B2B">
        <w:rPr>
          <w:rFonts w:ascii="Quicksand" w:hAnsi="Quicksand"/>
          <w:color w:val="7F7F7F" w:themeColor="text1" w:themeTint="80"/>
          <w:sz w:val="18"/>
          <w:szCs w:val="20"/>
        </w:rPr>
        <w:t xml:space="preserve"> The Recipient may also disclose Confidential Information if:</w:t>
      </w:r>
    </w:p>
    <w:p w14:paraId="554BC3E1" w14:textId="77777777" w:rsidR="00312A77" w:rsidRPr="00DF2B2B" w:rsidRDefault="00312A77" w:rsidP="00312A77">
      <w:pPr>
        <w:pStyle w:val="ListParagraph"/>
        <w:numPr>
          <w:ilvl w:val="1"/>
          <w:numId w:val="1"/>
        </w:numPr>
        <w:ind w:left="567" w:hanging="283"/>
        <w:jc w:val="both"/>
        <w:rPr>
          <w:rFonts w:ascii="Quicksand" w:hAnsi="Quicksand"/>
          <w:color w:val="7F7F7F" w:themeColor="text1" w:themeTint="80"/>
          <w:sz w:val="18"/>
          <w:szCs w:val="20"/>
        </w:rPr>
      </w:pPr>
      <w:r w:rsidRPr="00DF2B2B">
        <w:rPr>
          <w:rFonts w:ascii="Quicksand" w:hAnsi="Quicksand"/>
          <w:color w:val="7F7F7F" w:themeColor="text1" w:themeTint="80"/>
          <w:sz w:val="18"/>
          <w:szCs w:val="20"/>
        </w:rPr>
        <w:t>the Owner gives express consent to the disclosure;</w:t>
      </w:r>
    </w:p>
    <w:p w14:paraId="56A68174" w14:textId="77777777" w:rsidR="00312A77" w:rsidRPr="00DF2B2B" w:rsidRDefault="00312A77" w:rsidP="00312A77">
      <w:pPr>
        <w:pStyle w:val="ListParagraph"/>
        <w:numPr>
          <w:ilvl w:val="1"/>
          <w:numId w:val="1"/>
        </w:numPr>
        <w:ind w:left="567" w:hanging="283"/>
        <w:jc w:val="both"/>
        <w:rPr>
          <w:rFonts w:ascii="Quicksand" w:hAnsi="Quicksand"/>
          <w:color w:val="7F7F7F" w:themeColor="text1" w:themeTint="80"/>
          <w:sz w:val="18"/>
          <w:szCs w:val="20"/>
        </w:rPr>
      </w:pPr>
      <w:r w:rsidRPr="00DF2B2B">
        <w:rPr>
          <w:rFonts w:ascii="Quicksand" w:hAnsi="Quicksand"/>
          <w:color w:val="7F7F7F" w:themeColor="text1" w:themeTint="80"/>
          <w:sz w:val="18"/>
          <w:szCs w:val="20"/>
        </w:rPr>
        <w:t>the Confidential Information becomes generally known (other than due to breach of this Agreement); or</w:t>
      </w:r>
    </w:p>
    <w:p w14:paraId="4CC11C80" w14:textId="77777777" w:rsidR="00312A77" w:rsidRPr="00DF2B2B" w:rsidRDefault="00312A77" w:rsidP="00312A77">
      <w:pPr>
        <w:pStyle w:val="ListParagraph"/>
        <w:numPr>
          <w:ilvl w:val="1"/>
          <w:numId w:val="1"/>
        </w:numPr>
        <w:ind w:left="567" w:hanging="283"/>
        <w:jc w:val="both"/>
        <w:rPr>
          <w:rFonts w:ascii="Quicksand" w:hAnsi="Quicksand"/>
          <w:color w:val="7F7F7F" w:themeColor="text1" w:themeTint="80"/>
          <w:sz w:val="18"/>
          <w:szCs w:val="20"/>
        </w:rPr>
      </w:pPr>
      <w:r w:rsidRPr="00DF2B2B">
        <w:rPr>
          <w:rFonts w:ascii="Quicksand" w:hAnsi="Quicksand"/>
          <w:color w:val="7F7F7F" w:themeColor="text1" w:themeTint="80"/>
          <w:sz w:val="18"/>
          <w:szCs w:val="20"/>
        </w:rPr>
        <w:t>the disclosure is required by law.</w:t>
      </w:r>
    </w:p>
    <w:p w14:paraId="276F40C7"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bookmarkStart w:id="3" w:name="_Ref497749596"/>
      <w:r w:rsidRPr="00DF2B2B">
        <w:rPr>
          <w:rFonts w:ascii="Quicksand" w:hAnsi="Quicksand"/>
          <w:b/>
          <w:color w:val="B1C5BF"/>
          <w:sz w:val="18"/>
          <w:szCs w:val="20"/>
        </w:rPr>
        <w:t>Return or destruction:</w:t>
      </w:r>
      <w:r w:rsidRPr="00DF2B2B">
        <w:rPr>
          <w:rFonts w:ascii="Quicksand" w:hAnsi="Quicksand"/>
          <w:color w:val="7F7F7F" w:themeColor="text1" w:themeTint="80"/>
          <w:sz w:val="18"/>
          <w:szCs w:val="20"/>
        </w:rPr>
        <w:t xml:space="preserve"> If the Owner requests, the Recipient must return or destroy all copies of the Confidential Information that it holds or controls.</w:t>
      </w:r>
      <w:bookmarkEnd w:id="3"/>
      <w:r w:rsidRPr="00DF2B2B">
        <w:rPr>
          <w:rFonts w:ascii="Quicksand" w:hAnsi="Quicksand"/>
          <w:color w:val="7F7F7F" w:themeColor="text1" w:themeTint="80"/>
          <w:sz w:val="18"/>
          <w:szCs w:val="20"/>
        </w:rPr>
        <w:t xml:space="preserve"> </w:t>
      </w:r>
    </w:p>
    <w:p w14:paraId="7214E9CE"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bookmarkStart w:id="4" w:name="_Ref497749700"/>
      <w:r w:rsidRPr="00DF2B2B">
        <w:rPr>
          <w:rFonts w:ascii="Quicksand" w:hAnsi="Quicksand"/>
          <w:b/>
          <w:color w:val="B1C5BF"/>
          <w:sz w:val="18"/>
          <w:szCs w:val="20"/>
        </w:rPr>
        <w:t>Backups and archive:</w:t>
      </w:r>
      <w:r w:rsidRPr="00DF2B2B">
        <w:rPr>
          <w:rFonts w:ascii="Quicksand" w:hAnsi="Quicksand"/>
          <w:color w:val="7F7F7F" w:themeColor="text1" w:themeTint="80"/>
          <w:sz w:val="18"/>
          <w:szCs w:val="20"/>
        </w:rPr>
        <w:t xml:space="preserve"> The Recipient may keep copies of the Confidential Information that are retained in accordance with the Recipient’s ordinary backup or archive procedures, or where required by law, provided that such copies are not readily accessible in the ordinary course of business. This clause </w:t>
      </w:r>
      <w:r w:rsidRPr="00DF2B2B">
        <w:rPr>
          <w:rFonts w:ascii="Quicksand" w:hAnsi="Quicksand"/>
          <w:color w:val="7F7F7F" w:themeColor="text1" w:themeTint="80"/>
          <w:sz w:val="18"/>
          <w:szCs w:val="20"/>
        </w:rPr>
        <w:fldChar w:fldCharType="begin"/>
      </w:r>
      <w:r w:rsidRPr="00DF2B2B">
        <w:rPr>
          <w:rFonts w:ascii="Quicksand" w:hAnsi="Quicksand"/>
          <w:color w:val="7F7F7F" w:themeColor="text1" w:themeTint="80"/>
          <w:sz w:val="18"/>
          <w:szCs w:val="20"/>
        </w:rPr>
        <w:instrText xml:space="preserve"> REF _Ref497749700 \r \h  \* MERGEFORMAT </w:instrText>
      </w:r>
      <w:r w:rsidRPr="00DF2B2B">
        <w:rPr>
          <w:rFonts w:ascii="Quicksand" w:hAnsi="Quicksand"/>
          <w:color w:val="7F7F7F" w:themeColor="text1" w:themeTint="80"/>
          <w:sz w:val="18"/>
          <w:szCs w:val="20"/>
        </w:rPr>
      </w:r>
      <w:r w:rsidRPr="00DF2B2B">
        <w:rPr>
          <w:rFonts w:ascii="Quicksand" w:hAnsi="Quicksand"/>
          <w:color w:val="7F7F7F" w:themeColor="text1" w:themeTint="80"/>
          <w:sz w:val="18"/>
          <w:szCs w:val="20"/>
        </w:rPr>
        <w:fldChar w:fldCharType="separate"/>
      </w:r>
      <w:r w:rsidRPr="00DF2B2B">
        <w:rPr>
          <w:rFonts w:ascii="Quicksand" w:hAnsi="Quicksand"/>
          <w:color w:val="7F7F7F" w:themeColor="text1" w:themeTint="80"/>
          <w:sz w:val="18"/>
          <w:szCs w:val="20"/>
        </w:rPr>
        <w:t>8</w:t>
      </w:r>
      <w:r w:rsidRPr="00DF2B2B">
        <w:rPr>
          <w:rFonts w:ascii="Quicksand" w:hAnsi="Quicksand"/>
          <w:color w:val="7F7F7F" w:themeColor="text1" w:themeTint="80"/>
          <w:sz w:val="18"/>
          <w:szCs w:val="20"/>
        </w:rPr>
        <w:fldChar w:fldCharType="end"/>
      </w:r>
      <w:r w:rsidRPr="00DF2B2B">
        <w:rPr>
          <w:rFonts w:ascii="Quicksand" w:hAnsi="Quicksand"/>
          <w:color w:val="7F7F7F" w:themeColor="text1" w:themeTint="80"/>
          <w:sz w:val="18"/>
          <w:szCs w:val="20"/>
        </w:rPr>
        <w:t xml:space="preserve"> takes precedence over clause </w:t>
      </w:r>
      <w:r w:rsidRPr="00DF2B2B">
        <w:rPr>
          <w:rFonts w:ascii="Quicksand" w:hAnsi="Quicksand"/>
          <w:color w:val="7F7F7F" w:themeColor="text1" w:themeTint="80"/>
          <w:sz w:val="18"/>
          <w:szCs w:val="20"/>
        </w:rPr>
        <w:fldChar w:fldCharType="begin"/>
      </w:r>
      <w:r w:rsidRPr="00DF2B2B">
        <w:rPr>
          <w:rFonts w:ascii="Quicksand" w:hAnsi="Quicksand"/>
          <w:color w:val="7F7F7F" w:themeColor="text1" w:themeTint="80"/>
          <w:sz w:val="18"/>
          <w:szCs w:val="20"/>
        </w:rPr>
        <w:instrText xml:space="preserve"> REF _Ref497749596 \r \h  \* MERGEFORMAT </w:instrText>
      </w:r>
      <w:r w:rsidRPr="00DF2B2B">
        <w:rPr>
          <w:rFonts w:ascii="Quicksand" w:hAnsi="Quicksand"/>
          <w:color w:val="7F7F7F" w:themeColor="text1" w:themeTint="80"/>
          <w:sz w:val="18"/>
          <w:szCs w:val="20"/>
        </w:rPr>
      </w:r>
      <w:r w:rsidRPr="00DF2B2B">
        <w:rPr>
          <w:rFonts w:ascii="Quicksand" w:hAnsi="Quicksand"/>
          <w:color w:val="7F7F7F" w:themeColor="text1" w:themeTint="80"/>
          <w:sz w:val="18"/>
          <w:szCs w:val="20"/>
        </w:rPr>
        <w:fldChar w:fldCharType="separate"/>
      </w:r>
      <w:r w:rsidRPr="00DF2B2B">
        <w:rPr>
          <w:rFonts w:ascii="Quicksand" w:hAnsi="Quicksand"/>
          <w:color w:val="7F7F7F" w:themeColor="text1" w:themeTint="80"/>
          <w:sz w:val="18"/>
          <w:szCs w:val="20"/>
        </w:rPr>
        <w:t>7</w:t>
      </w:r>
      <w:r w:rsidRPr="00DF2B2B">
        <w:rPr>
          <w:rFonts w:ascii="Quicksand" w:hAnsi="Quicksand"/>
          <w:color w:val="7F7F7F" w:themeColor="text1" w:themeTint="80"/>
          <w:sz w:val="18"/>
          <w:szCs w:val="20"/>
        </w:rPr>
        <w:fldChar w:fldCharType="end"/>
      </w:r>
      <w:bookmarkEnd w:id="4"/>
      <w:r w:rsidRPr="00DF2B2B">
        <w:rPr>
          <w:rFonts w:ascii="Quicksand" w:hAnsi="Quicksand"/>
          <w:color w:val="7F7F7F" w:themeColor="text1" w:themeTint="80"/>
          <w:sz w:val="18"/>
          <w:szCs w:val="20"/>
        </w:rPr>
        <w:t xml:space="preserve"> (return or destruction).</w:t>
      </w:r>
    </w:p>
    <w:p w14:paraId="275A8A09"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No warranty:</w:t>
      </w:r>
      <w:r w:rsidRPr="00DF2B2B">
        <w:rPr>
          <w:rFonts w:ascii="Quicksand" w:hAnsi="Quicksand"/>
          <w:color w:val="7F7F7F" w:themeColor="text1" w:themeTint="80"/>
          <w:sz w:val="18"/>
          <w:szCs w:val="20"/>
        </w:rPr>
        <w:t xml:space="preserve"> Neither of us warrants that any information we share will meet the requirements of the other. While we each agree to take due care to ensure that the information we share is complete and correct, neither of us assumes any responsibility or liability under this Agreement for the use of our shared information by the other.</w:t>
      </w:r>
    </w:p>
    <w:p w14:paraId="576E3B08"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No obligation to disclose:</w:t>
      </w:r>
      <w:r w:rsidRPr="00DF2B2B">
        <w:rPr>
          <w:rFonts w:ascii="Quicksand" w:hAnsi="Quicksand"/>
          <w:color w:val="7F7F7F" w:themeColor="text1" w:themeTint="80"/>
          <w:sz w:val="18"/>
          <w:szCs w:val="20"/>
        </w:rPr>
        <w:t xml:space="preserve"> This Agreement does not create any obligation on either of us to disclose any </w:t>
      </w:r>
      <w:proofErr w:type="gramStart"/>
      <w:r w:rsidRPr="00DF2B2B">
        <w:rPr>
          <w:rFonts w:ascii="Quicksand" w:hAnsi="Quicksand"/>
          <w:color w:val="7F7F7F" w:themeColor="text1" w:themeTint="80"/>
          <w:sz w:val="18"/>
          <w:szCs w:val="20"/>
        </w:rPr>
        <w:t>particular kind</w:t>
      </w:r>
      <w:proofErr w:type="gramEnd"/>
      <w:r w:rsidRPr="00DF2B2B">
        <w:rPr>
          <w:rFonts w:ascii="Quicksand" w:hAnsi="Quicksand"/>
          <w:color w:val="7F7F7F" w:themeColor="text1" w:themeTint="80"/>
          <w:sz w:val="18"/>
          <w:szCs w:val="20"/>
        </w:rPr>
        <w:t xml:space="preserve"> or quantity of information to the other.</w:t>
      </w:r>
    </w:p>
    <w:p w14:paraId="3ADB91DA"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No partnership:</w:t>
      </w:r>
      <w:r w:rsidRPr="00DF2B2B">
        <w:rPr>
          <w:rFonts w:ascii="Quicksand" w:hAnsi="Quicksand"/>
          <w:color w:val="7F7F7F" w:themeColor="text1" w:themeTint="80"/>
          <w:sz w:val="18"/>
          <w:szCs w:val="20"/>
        </w:rPr>
        <w:t xml:space="preserve"> Each of us is working independently. This Agreement is not intended to create any kind of partnership, joint venture or other business entity </w:t>
      </w:r>
      <w:r w:rsidRPr="00DF2B2B">
        <w:rPr>
          <w:rFonts w:ascii="Quicksand" w:hAnsi="Quicksand"/>
          <w:color w:val="7F7F7F" w:themeColor="text1" w:themeTint="80"/>
          <w:sz w:val="18"/>
          <w:szCs w:val="20"/>
        </w:rPr>
        <w:t>between us. Sharing information does not oblige either of us to enter into any further business arrangement.</w:t>
      </w:r>
    </w:p>
    <w:bookmarkEnd w:id="0"/>
    <w:bookmarkEnd w:id="1"/>
    <w:p w14:paraId="147719E9"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Costs:</w:t>
      </w:r>
      <w:r w:rsidRPr="00DF2B2B">
        <w:rPr>
          <w:rFonts w:ascii="Quicksand" w:hAnsi="Quicksand"/>
          <w:color w:val="7F7F7F" w:themeColor="text1" w:themeTint="80"/>
          <w:sz w:val="18"/>
          <w:szCs w:val="20"/>
        </w:rPr>
        <w:t xml:space="preserve"> We will each pay our own costs in connection with this Agreement. </w:t>
      </w:r>
    </w:p>
    <w:p w14:paraId="3829BE96"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bookmarkStart w:id="5" w:name="_Ref490226087"/>
      <w:r w:rsidRPr="00DF2B2B">
        <w:rPr>
          <w:rFonts w:ascii="Quicksand" w:hAnsi="Quicksand"/>
          <w:b/>
          <w:color w:val="B1C5BF"/>
          <w:sz w:val="18"/>
          <w:szCs w:val="20"/>
        </w:rPr>
        <w:t>Keep informed:</w:t>
      </w:r>
      <w:r w:rsidRPr="00DF2B2B">
        <w:rPr>
          <w:rFonts w:ascii="Quicksand" w:hAnsi="Quicksand"/>
          <w:color w:val="7F7F7F" w:themeColor="text1" w:themeTint="80"/>
          <w:sz w:val="18"/>
          <w:szCs w:val="20"/>
        </w:rPr>
        <w:t xml:space="preserve"> We agree to keep each other informed of any significant matters relating to this Agreement. Notifications may be sent by hand, post, or email.</w:t>
      </w:r>
    </w:p>
    <w:bookmarkEnd w:id="5"/>
    <w:p w14:paraId="34814A26"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Force majeure:</w:t>
      </w:r>
      <w:r w:rsidRPr="00DF2B2B">
        <w:rPr>
          <w:rFonts w:ascii="Quicksand" w:hAnsi="Quicksand"/>
          <w:color w:val="7F7F7F" w:themeColor="text1" w:themeTint="80"/>
          <w:sz w:val="18"/>
          <w:szCs w:val="20"/>
        </w:rPr>
        <w:t xml:space="preserve"> Neither of us will be liable for any acts or omissions arising from any cause beyond our reasonable control.</w:t>
      </w:r>
    </w:p>
    <w:p w14:paraId="5F065C7C"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Amendments:</w:t>
      </w:r>
      <w:r w:rsidRPr="00DF2B2B">
        <w:rPr>
          <w:rFonts w:ascii="Quicksand" w:hAnsi="Quicksand"/>
          <w:color w:val="7F7F7F" w:themeColor="text1" w:themeTint="80"/>
          <w:sz w:val="18"/>
          <w:szCs w:val="20"/>
        </w:rPr>
        <w:t xml:space="preserve"> Any change to this Agreement may only be made where both of us agree in writing.</w:t>
      </w:r>
    </w:p>
    <w:p w14:paraId="1216E23B"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Termination:</w:t>
      </w:r>
      <w:r w:rsidRPr="00DF2B2B">
        <w:rPr>
          <w:rFonts w:ascii="Quicksand" w:hAnsi="Quicksand"/>
          <w:color w:val="7F7F7F" w:themeColor="text1" w:themeTint="80"/>
          <w:sz w:val="18"/>
          <w:szCs w:val="20"/>
        </w:rPr>
        <w:t xml:space="preserve"> Either of us may be terminate this Agreement by giving written notice to the other.</w:t>
      </w:r>
    </w:p>
    <w:p w14:paraId="12F1BB77"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Survival:</w:t>
      </w:r>
      <w:r w:rsidRPr="00DF2B2B">
        <w:rPr>
          <w:rFonts w:ascii="Quicksand" w:hAnsi="Quicksand"/>
          <w:color w:val="7F7F7F" w:themeColor="text1" w:themeTint="80"/>
          <w:sz w:val="18"/>
          <w:szCs w:val="20"/>
        </w:rPr>
        <w:t xml:space="preserve"> The obligations of confidentiality in this Agreement survive its termination.</w:t>
      </w:r>
    </w:p>
    <w:p w14:paraId="5EB18963"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Mutual warranties:</w:t>
      </w:r>
      <w:r w:rsidRPr="00DF2B2B">
        <w:rPr>
          <w:rFonts w:ascii="Quicksand" w:hAnsi="Quicksand"/>
          <w:color w:val="7F7F7F" w:themeColor="text1" w:themeTint="80"/>
          <w:sz w:val="18"/>
          <w:szCs w:val="20"/>
        </w:rPr>
        <w:t xml:space="preserve"> We each warrant that we have full power and authority to enter into and perform our obligations under this Agreement which, when signed, will constitute binding obligations on each of us.</w:t>
      </w:r>
    </w:p>
    <w:p w14:paraId="5BF08DE7" w14:textId="2D9B21A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Disputes:</w:t>
      </w:r>
      <w:r w:rsidRPr="00DF2B2B">
        <w:rPr>
          <w:rFonts w:ascii="Quicksand" w:hAnsi="Quicksand"/>
          <w:color w:val="7F7F7F" w:themeColor="text1" w:themeTint="80"/>
          <w:sz w:val="18"/>
          <w:szCs w:val="20"/>
        </w:rPr>
        <w:t xml:space="preserve"> If we have a dispute regarding this Agreement or the services, we both agree to make good faith efforts to resolve any dispute by negotiation. If we can’t agree, either of us can refer the dispute to arbitration under the</w:t>
      </w:r>
      <w:r w:rsidR="00F50E05" w:rsidRPr="00DF2B2B">
        <w:rPr>
          <w:rFonts w:ascii="Quicksand" w:hAnsi="Quicksand"/>
          <w:color w:val="7F7F7F" w:themeColor="text1" w:themeTint="80"/>
          <w:sz w:val="18"/>
          <w:szCs w:val="20"/>
        </w:rPr>
        <w:t xml:space="preserve"> {{</w:t>
      </w:r>
      <w:proofErr w:type="spellStart"/>
      <w:r w:rsidR="006255C5" w:rsidRPr="00DF2B2B">
        <w:rPr>
          <w:rFonts w:ascii="Quicksand" w:hAnsi="Quicksand"/>
          <w:color w:val="7F7F7F" w:themeColor="text1" w:themeTint="80"/>
          <w:sz w:val="18"/>
          <w:szCs w:val="20"/>
        </w:rPr>
        <w:t>disputes_law</w:t>
      </w:r>
      <w:proofErr w:type="spellEnd"/>
      <w:r w:rsidR="006255C5" w:rsidRPr="00DF2B2B">
        <w:rPr>
          <w:rFonts w:ascii="Quicksand" w:hAnsi="Quicksand"/>
          <w:color w:val="7F7F7F" w:themeColor="text1" w:themeTint="80"/>
          <w:sz w:val="18"/>
          <w:szCs w:val="20"/>
        </w:rPr>
        <w:t>}}</w:t>
      </w:r>
      <w:r w:rsidRPr="00DF2B2B">
        <w:rPr>
          <w:rFonts w:ascii="Quicksand" w:hAnsi="Quicksand"/>
          <w:color w:val="7F7F7F" w:themeColor="text1" w:themeTint="80"/>
          <w:sz w:val="18"/>
          <w:szCs w:val="20"/>
        </w:rPr>
        <w:t>.</w:t>
      </w:r>
    </w:p>
    <w:p w14:paraId="3680C92F" w14:textId="07B014B2"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Governing law:</w:t>
      </w:r>
      <w:r w:rsidRPr="00DF2B2B">
        <w:rPr>
          <w:rFonts w:ascii="Quicksand" w:hAnsi="Quicksand"/>
          <w:color w:val="7F7F7F" w:themeColor="text1" w:themeTint="80"/>
          <w:sz w:val="18"/>
          <w:szCs w:val="20"/>
        </w:rPr>
        <w:t xml:space="preserve"> This Agreement is governed by </w:t>
      </w:r>
      <w:r w:rsidR="006255C5" w:rsidRPr="00DF2B2B">
        <w:rPr>
          <w:rFonts w:ascii="Quicksand" w:hAnsi="Quicksand"/>
          <w:color w:val="7F7F7F" w:themeColor="text1" w:themeTint="80"/>
          <w:sz w:val="18"/>
          <w:szCs w:val="20"/>
        </w:rPr>
        <w:t>{{</w:t>
      </w:r>
      <w:proofErr w:type="spellStart"/>
      <w:r w:rsidR="006255C5" w:rsidRPr="00DF2B2B">
        <w:rPr>
          <w:rFonts w:ascii="Quicksand" w:hAnsi="Quicksand"/>
          <w:color w:val="7F7F7F" w:themeColor="text1" w:themeTint="80"/>
          <w:sz w:val="18"/>
          <w:szCs w:val="20"/>
        </w:rPr>
        <w:t>governing_law</w:t>
      </w:r>
      <w:proofErr w:type="spellEnd"/>
      <w:r w:rsidR="006255C5" w:rsidRPr="00DF2B2B">
        <w:rPr>
          <w:rFonts w:ascii="Quicksand" w:hAnsi="Quicksand"/>
          <w:color w:val="7F7F7F" w:themeColor="text1" w:themeTint="80"/>
          <w:sz w:val="18"/>
          <w:szCs w:val="20"/>
        </w:rPr>
        <w:t>}}</w:t>
      </w:r>
      <w:r w:rsidRPr="00DF2B2B">
        <w:rPr>
          <w:rFonts w:ascii="Quicksand" w:hAnsi="Quicksand"/>
          <w:color w:val="7F7F7F" w:themeColor="text1" w:themeTint="80"/>
          <w:sz w:val="18"/>
          <w:szCs w:val="20"/>
        </w:rPr>
        <w:t>.</w:t>
      </w:r>
    </w:p>
    <w:p w14:paraId="05B2E9FE" w14:textId="77777777" w:rsidR="00312A77" w:rsidRPr="00DF2B2B" w:rsidRDefault="00312A77" w:rsidP="00312A77">
      <w:pPr>
        <w:pStyle w:val="ListParagraph"/>
        <w:numPr>
          <w:ilvl w:val="0"/>
          <w:numId w:val="1"/>
        </w:numPr>
        <w:ind w:left="284" w:hanging="284"/>
        <w:jc w:val="both"/>
        <w:rPr>
          <w:rFonts w:ascii="Quicksand" w:hAnsi="Quicksand"/>
          <w:color w:val="7F7F7F" w:themeColor="text1" w:themeTint="80"/>
          <w:sz w:val="18"/>
          <w:szCs w:val="20"/>
        </w:rPr>
      </w:pPr>
      <w:r w:rsidRPr="00DF2B2B">
        <w:rPr>
          <w:rFonts w:ascii="Quicksand" w:hAnsi="Quicksand"/>
          <w:b/>
          <w:color w:val="B1C5BF"/>
          <w:sz w:val="18"/>
          <w:szCs w:val="20"/>
        </w:rPr>
        <w:t>Counterparts:</w:t>
      </w:r>
      <w:r w:rsidRPr="00DF2B2B">
        <w:rPr>
          <w:rFonts w:ascii="Quicksand" w:hAnsi="Quicksand"/>
          <w:color w:val="7F7F7F" w:themeColor="text1" w:themeTint="80"/>
          <w:sz w:val="18"/>
          <w:szCs w:val="20"/>
        </w:rPr>
        <w:t xml:space="preserve"> This Agreement may be executed in counterparts and both counterparts taken together shall constitute a single instrument. Either of us may enter into this Agreement by signing a counterpart copy and sending it to the other party, including by facsimile or email.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031"/>
      </w:tblGrid>
      <w:tr w:rsidR="00312A77" w:rsidRPr="00DF2B2B" w14:paraId="6C63442E" w14:textId="77777777" w:rsidTr="006F0667">
        <w:tc>
          <w:tcPr>
            <w:tcW w:w="1838" w:type="dxa"/>
            <w:vAlign w:val="center"/>
          </w:tcPr>
          <w:p w14:paraId="3BC7678D" w14:textId="77777777" w:rsidR="00312A77" w:rsidRPr="00DF2B2B" w:rsidRDefault="00312A77" w:rsidP="0061077D">
            <w:pPr>
              <w:rPr>
                <w:rFonts w:ascii="Quicksand" w:hAnsi="Quicksand"/>
                <w:color w:val="7F7F7F" w:themeColor="text1" w:themeTint="80"/>
                <w:sz w:val="18"/>
                <w:szCs w:val="20"/>
              </w:rPr>
            </w:pPr>
          </w:p>
        </w:tc>
        <w:tc>
          <w:tcPr>
            <w:tcW w:w="3031" w:type="dxa"/>
            <w:vAlign w:val="center"/>
          </w:tcPr>
          <w:p w14:paraId="6BDC617D" w14:textId="77777777" w:rsidR="00312A77" w:rsidRPr="00DF2B2B" w:rsidRDefault="00312A77" w:rsidP="0061077D">
            <w:pPr>
              <w:jc w:val="right"/>
              <w:rPr>
                <w:rFonts w:ascii="Quicksand" w:hAnsi="Quicksand"/>
                <w:i/>
                <w:color w:val="7F7F7F" w:themeColor="text1" w:themeTint="80"/>
                <w:sz w:val="18"/>
                <w:szCs w:val="20"/>
              </w:rPr>
            </w:pPr>
            <w:r w:rsidRPr="00DF2B2B">
              <w:rPr>
                <w:rFonts w:ascii="Quicksand" w:hAnsi="Quicksand"/>
                <w:i/>
                <w:color w:val="7F7F7F" w:themeColor="text1" w:themeTint="80"/>
                <w:sz w:val="18"/>
                <w:szCs w:val="20"/>
              </w:rPr>
              <w:t>[sign and print name and designation below]</w:t>
            </w:r>
          </w:p>
          <w:p w14:paraId="0094ED61" w14:textId="77777777" w:rsidR="00312A77" w:rsidRPr="00DF2B2B" w:rsidRDefault="00312A77" w:rsidP="0061077D">
            <w:pPr>
              <w:rPr>
                <w:rFonts w:ascii="Quicksand" w:hAnsi="Quicksand"/>
                <w:color w:val="7F7F7F" w:themeColor="text1" w:themeTint="80"/>
                <w:sz w:val="18"/>
                <w:szCs w:val="20"/>
              </w:rPr>
            </w:pPr>
          </w:p>
        </w:tc>
      </w:tr>
      <w:tr w:rsidR="00312A77" w:rsidRPr="00DF2B2B" w14:paraId="3015D8EE" w14:textId="77777777" w:rsidTr="006F0667">
        <w:tc>
          <w:tcPr>
            <w:tcW w:w="1838" w:type="dxa"/>
            <w:vAlign w:val="center"/>
          </w:tcPr>
          <w:p w14:paraId="373B7D6B" w14:textId="4033FC76" w:rsidR="00312A77" w:rsidRPr="00DF2B2B" w:rsidRDefault="00312A77" w:rsidP="0061077D">
            <w:pPr>
              <w:rPr>
                <w:rFonts w:ascii="Quicksand" w:hAnsi="Quicksand"/>
                <w:color w:val="7F7F7F" w:themeColor="text1" w:themeTint="80"/>
                <w:sz w:val="18"/>
                <w:szCs w:val="20"/>
              </w:rPr>
            </w:pPr>
            <w:r w:rsidRPr="00DF2B2B">
              <w:rPr>
                <w:rFonts w:ascii="Quicksand" w:hAnsi="Quicksand"/>
                <w:color w:val="7F7F7F" w:themeColor="text1" w:themeTint="80"/>
                <w:sz w:val="18"/>
                <w:szCs w:val="20"/>
              </w:rPr>
              <w:t xml:space="preserve">Signed for </w:t>
            </w:r>
            <w:r w:rsidR="006F0667" w:rsidRPr="00DF2B2B">
              <w:rPr>
                <w:rFonts w:ascii="Quicksand" w:hAnsi="Quicksand"/>
                <w:color w:val="7F7F7F" w:themeColor="text1" w:themeTint="80"/>
                <w:sz w:val="18"/>
                <w:szCs w:val="20"/>
              </w:rPr>
              <w:t>{{</w:t>
            </w:r>
            <w:r w:rsidR="00AF1B6A" w:rsidRPr="00DF2B2B">
              <w:rPr>
                <w:rFonts w:ascii="Quicksand" w:hAnsi="Quicksand"/>
                <w:color w:val="7F7F7F" w:themeColor="text1" w:themeTint="80"/>
                <w:sz w:val="18"/>
                <w:szCs w:val="20"/>
              </w:rPr>
              <w:t>party1}}</w:t>
            </w:r>
            <w:r w:rsidRPr="00DF2B2B">
              <w:rPr>
                <w:rFonts w:ascii="Quicksand" w:hAnsi="Quicksand"/>
                <w:color w:val="7F7F7F" w:themeColor="text1" w:themeTint="80"/>
                <w:sz w:val="18"/>
                <w:szCs w:val="20"/>
              </w:rPr>
              <w:t>:</w:t>
            </w:r>
          </w:p>
        </w:tc>
        <w:tc>
          <w:tcPr>
            <w:tcW w:w="3031" w:type="dxa"/>
            <w:tcBorders>
              <w:bottom w:val="single" w:sz="4" w:space="0" w:color="auto"/>
            </w:tcBorders>
            <w:vAlign w:val="center"/>
          </w:tcPr>
          <w:p w14:paraId="16A0C0EC" w14:textId="77777777" w:rsidR="00312A77" w:rsidRPr="00DF2B2B" w:rsidRDefault="00312A77" w:rsidP="0061077D">
            <w:pPr>
              <w:rPr>
                <w:rFonts w:ascii="Quicksand" w:hAnsi="Quicksand"/>
                <w:color w:val="7F7F7F" w:themeColor="text1" w:themeTint="80"/>
                <w:sz w:val="18"/>
                <w:szCs w:val="20"/>
              </w:rPr>
            </w:pPr>
          </w:p>
        </w:tc>
      </w:tr>
      <w:tr w:rsidR="00312A77" w:rsidRPr="00DF2B2B" w14:paraId="710B375C" w14:textId="77777777" w:rsidTr="006F0667">
        <w:tc>
          <w:tcPr>
            <w:tcW w:w="1838" w:type="dxa"/>
            <w:vAlign w:val="center"/>
          </w:tcPr>
          <w:p w14:paraId="512FE8F8" w14:textId="77777777" w:rsidR="00312A77" w:rsidRPr="00DF2B2B" w:rsidRDefault="00312A77" w:rsidP="0061077D">
            <w:pPr>
              <w:rPr>
                <w:rFonts w:ascii="Quicksand" w:hAnsi="Quicksand"/>
                <w:color w:val="7F7F7F" w:themeColor="text1" w:themeTint="80"/>
                <w:sz w:val="18"/>
                <w:szCs w:val="20"/>
              </w:rPr>
            </w:pPr>
          </w:p>
          <w:p w14:paraId="36094903" w14:textId="77777777" w:rsidR="00312A77" w:rsidRPr="00DF2B2B" w:rsidRDefault="00312A77" w:rsidP="0061077D">
            <w:pPr>
              <w:rPr>
                <w:rFonts w:ascii="Quicksand" w:hAnsi="Quicksand"/>
                <w:color w:val="7F7F7F" w:themeColor="text1" w:themeTint="80"/>
                <w:sz w:val="18"/>
                <w:szCs w:val="20"/>
              </w:rPr>
            </w:pPr>
          </w:p>
          <w:p w14:paraId="1D42C68B" w14:textId="77777777" w:rsidR="00312A77" w:rsidRPr="00DF2B2B" w:rsidRDefault="00312A77" w:rsidP="0061077D">
            <w:pPr>
              <w:rPr>
                <w:rFonts w:ascii="Quicksand" w:hAnsi="Quicksand"/>
                <w:color w:val="7F7F7F" w:themeColor="text1" w:themeTint="80"/>
                <w:sz w:val="18"/>
                <w:szCs w:val="20"/>
              </w:rPr>
            </w:pPr>
          </w:p>
        </w:tc>
        <w:tc>
          <w:tcPr>
            <w:tcW w:w="3031" w:type="dxa"/>
            <w:tcBorders>
              <w:top w:val="single" w:sz="4" w:space="0" w:color="auto"/>
            </w:tcBorders>
            <w:vAlign w:val="center"/>
          </w:tcPr>
          <w:p w14:paraId="25C77CCB" w14:textId="77777777" w:rsidR="00312A77" w:rsidRPr="00DF2B2B" w:rsidRDefault="00312A77" w:rsidP="0061077D">
            <w:pPr>
              <w:rPr>
                <w:rFonts w:ascii="Quicksand" w:hAnsi="Quicksand"/>
                <w:color w:val="7F7F7F" w:themeColor="text1" w:themeTint="80"/>
                <w:sz w:val="18"/>
                <w:szCs w:val="20"/>
              </w:rPr>
            </w:pPr>
          </w:p>
        </w:tc>
      </w:tr>
      <w:tr w:rsidR="00312A77" w:rsidRPr="00DF2B2B" w14:paraId="62EAEB5B" w14:textId="77777777" w:rsidTr="006F0667">
        <w:tc>
          <w:tcPr>
            <w:tcW w:w="1838" w:type="dxa"/>
            <w:vAlign w:val="center"/>
          </w:tcPr>
          <w:p w14:paraId="5657A66D" w14:textId="0A1EC6ED" w:rsidR="00312A77" w:rsidRPr="00DF2B2B" w:rsidRDefault="00312A77" w:rsidP="0061077D">
            <w:pPr>
              <w:rPr>
                <w:rFonts w:ascii="Quicksand" w:hAnsi="Quicksand"/>
                <w:color w:val="7F7F7F" w:themeColor="text1" w:themeTint="80"/>
                <w:sz w:val="18"/>
                <w:szCs w:val="20"/>
              </w:rPr>
            </w:pPr>
            <w:r w:rsidRPr="00DF2B2B">
              <w:rPr>
                <w:rFonts w:ascii="Quicksand" w:hAnsi="Quicksand"/>
                <w:color w:val="7F7F7F" w:themeColor="text1" w:themeTint="80"/>
                <w:sz w:val="18"/>
                <w:szCs w:val="20"/>
              </w:rPr>
              <w:t xml:space="preserve">Signed for </w:t>
            </w:r>
            <w:r w:rsidR="00AF1B6A" w:rsidRPr="00DF2B2B">
              <w:rPr>
                <w:rFonts w:ascii="Quicksand" w:hAnsi="Quicksand"/>
                <w:color w:val="7F7F7F" w:themeColor="text1" w:themeTint="80"/>
                <w:sz w:val="18"/>
                <w:szCs w:val="20"/>
              </w:rPr>
              <w:t>{{party2}}</w:t>
            </w:r>
            <w:r w:rsidRPr="00DF2B2B">
              <w:rPr>
                <w:rFonts w:ascii="Quicksand" w:hAnsi="Quicksand"/>
                <w:color w:val="7F7F7F" w:themeColor="text1" w:themeTint="80"/>
                <w:sz w:val="18"/>
                <w:szCs w:val="20"/>
              </w:rPr>
              <w:t>:</w:t>
            </w:r>
          </w:p>
        </w:tc>
        <w:tc>
          <w:tcPr>
            <w:tcW w:w="3031" w:type="dxa"/>
            <w:tcBorders>
              <w:bottom w:val="single" w:sz="4" w:space="0" w:color="auto"/>
            </w:tcBorders>
            <w:vAlign w:val="center"/>
          </w:tcPr>
          <w:p w14:paraId="763ED128" w14:textId="77777777" w:rsidR="00312A77" w:rsidRPr="00DF2B2B" w:rsidRDefault="00312A77" w:rsidP="0061077D">
            <w:pPr>
              <w:rPr>
                <w:rFonts w:ascii="Quicksand" w:hAnsi="Quicksand"/>
                <w:color w:val="7F7F7F" w:themeColor="text1" w:themeTint="80"/>
                <w:sz w:val="18"/>
                <w:szCs w:val="20"/>
              </w:rPr>
            </w:pPr>
          </w:p>
        </w:tc>
      </w:tr>
    </w:tbl>
    <w:p w14:paraId="6953FDC3" w14:textId="77777777" w:rsidR="00312A77" w:rsidRPr="00DF2B2B" w:rsidRDefault="00312A77" w:rsidP="00312A77">
      <w:pPr>
        <w:jc w:val="both"/>
        <w:rPr>
          <w:rFonts w:ascii="Quicksand" w:hAnsi="Quicksand"/>
          <w:color w:val="7F7F7F" w:themeColor="text1" w:themeTint="80"/>
          <w:sz w:val="18"/>
          <w:szCs w:val="20"/>
        </w:rPr>
      </w:pPr>
    </w:p>
    <w:p w14:paraId="563B1DC5" w14:textId="77777777" w:rsidR="00D22926" w:rsidRPr="00DF2B2B" w:rsidRDefault="00D22926">
      <w:pPr>
        <w:rPr>
          <w:rFonts w:ascii="Quicksand" w:hAnsi="Quicksand"/>
          <w:sz w:val="18"/>
          <w:szCs w:val="20"/>
        </w:rPr>
      </w:pPr>
    </w:p>
    <w:sectPr w:rsidR="00D22926" w:rsidRPr="00DF2B2B" w:rsidSect="00CF6D5C">
      <w:type w:val="continuous"/>
      <w:pgSz w:w="11906" w:h="16838"/>
      <w:pgMar w:top="720" w:right="720" w:bottom="720" w:left="720" w:header="708" w:footer="708" w:gutter="0"/>
      <w:cols w:num="2"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AFD0CEB-FA68-4556-AEAF-A15ECB566946}"/>
    <w:embedBold r:id="rId2" w:fontKey="{9F3A5222-8901-4A31-A61C-F1F7AB039477}"/>
    <w:embedItalic r:id="rId3" w:fontKey="{1353FB57-C7B2-4EC6-8041-2E062D14A250}"/>
  </w:font>
  <w:font w:name="Quicksand">
    <w:charset w:val="00"/>
    <w:family w:val="auto"/>
    <w:pitch w:val="variable"/>
    <w:sig w:usb0="2000000F" w:usb1="00000001" w:usb2="00000000" w:usb3="00000000" w:csb0="00000193" w:csb1="00000000"/>
    <w:embedRegular r:id="rId4" w:fontKey="{8B1C1934-2493-4DAA-B0B1-21E47A099BDB}"/>
    <w:embedBold r:id="rId5" w:fontKey="{39AE2AF6-92E5-42CE-A03C-F377EBE840F5}"/>
    <w:embedItalic r:id="rId6" w:fontKey="{519D4EB5-573F-4970-B55E-6D51BD58F18D}"/>
  </w:font>
  <w:font w:name="Calibri Light">
    <w:panose1 w:val="020F0302020204030204"/>
    <w:charset w:val="00"/>
    <w:family w:val="swiss"/>
    <w:pitch w:val="variable"/>
    <w:sig w:usb0="E4002EFF" w:usb1="C000247B" w:usb2="00000009" w:usb3="00000000" w:csb0="000001FF" w:csb1="00000000"/>
    <w:embedRegular r:id="rId7" w:fontKey="{1DC1BB05-7CEB-4683-BA51-6EAD0F269C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4C324B"/>
    <w:multiLevelType w:val="hybridMultilevel"/>
    <w:tmpl w:val="74288072"/>
    <w:lvl w:ilvl="0" w:tplc="D60ADC56">
      <w:start w:val="1"/>
      <w:numFmt w:val="decimal"/>
      <w:lvlText w:val="%1."/>
      <w:lvlJc w:val="left"/>
      <w:pPr>
        <w:ind w:left="720" w:hanging="360"/>
      </w:pPr>
      <w:rPr>
        <w:rFonts w:hint="default"/>
        <w:b/>
        <w:color w:val="B1C5BF"/>
      </w:rPr>
    </w:lvl>
    <w:lvl w:ilvl="1" w:tplc="3ABE1C4E">
      <w:start w:val="1"/>
      <w:numFmt w:val="lowerLetter"/>
      <w:lvlText w:val="%2."/>
      <w:lvlJc w:val="left"/>
      <w:pPr>
        <w:ind w:left="1440" w:hanging="360"/>
      </w:pPr>
      <w:rPr>
        <w:b/>
        <w:color w:val="B1C5BF"/>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A77"/>
    <w:rsid w:val="002A0FCD"/>
    <w:rsid w:val="002C2564"/>
    <w:rsid w:val="00312A77"/>
    <w:rsid w:val="00351E89"/>
    <w:rsid w:val="00572FBA"/>
    <w:rsid w:val="00617CC2"/>
    <w:rsid w:val="006255C5"/>
    <w:rsid w:val="006F0667"/>
    <w:rsid w:val="0092253B"/>
    <w:rsid w:val="00AF1B6A"/>
    <w:rsid w:val="00B54A8C"/>
    <w:rsid w:val="00B64F68"/>
    <w:rsid w:val="00BA4DA2"/>
    <w:rsid w:val="00C65708"/>
    <w:rsid w:val="00C86322"/>
    <w:rsid w:val="00CC5E10"/>
    <w:rsid w:val="00CF6D5C"/>
    <w:rsid w:val="00D22926"/>
    <w:rsid w:val="00DF2B2B"/>
    <w:rsid w:val="00EC3A2C"/>
    <w:rsid w:val="00F21FD4"/>
    <w:rsid w:val="00F50E0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5DE78"/>
  <w15:chartTrackingRefBased/>
  <w15:docId w15:val="{F18093BA-6CD0-4437-A0C5-6F6970543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12A77"/>
    <w:pPr>
      <w:ind w:left="720"/>
      <w:contextualSpacing/>
    </w:pPr>
  </w:style>
  <w:style w:type="character" w:customStyle="1" w:styleId="ListParagraphChar">
    <w:name w:val="List Paragraph Char"/>
    <w:basedOn w:val="DefaultParagraphFont"/>
    <w:link w:val="ListParagraph"/>
    <w:uiPriority w:val="34"/>
    <w:rsid w:val="00312A77"/>
  </w:style>
  <w:style w:type="table" w:styleId="TableGrid">
    <w:name w:val="Table Grid"/>
    <w:basedOn w:val="TableNormal"/>
    <w:uiPriority w:val="39"/>
    <w:rsid w:val="00312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697</Words>
  <Characters>3977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Helen Mackay</cp:lastModifiedBy>
  <cp:revision>2</cp:revision>
  <dcterms:created xsi:type="dcterms:W3CDTF">2020-09-09T01:52:00Z</dcterms:created>
  <dcterms:modified xsi:type="dcterms:W3CDTF">2020-09-09T01:52:00Z</dcterms:modified>
</cp:coreProperties>
</file>